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E" w:rsidRDefault="00FC31AE">
      <w:pPr>
        <w:pStyle w:val="Default"/>
        <w:framePr w:w="12291" w:wrap="auto" w:vAnchor="page" w:hAnchor="page" w:x="375" w:y="287"/>
        <w:spacing w:after="180"/>
      </w:pPr>
      <w:r w:rsidRPr="009162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68.5pt;height:138pt;visibility:visible">
            <v:imagedata r:id="rId7" o:title=""/>
          </v:shape>
        </w:pict>
      </w:r>
    </w:p>
    <w:p w:rsidR="00FC31AE" w:rsidRDefault="00FC31AE">
      <w:pPr>
        <w:pStyle w:val="CM1"/>
        <w:spacing w:after="307"/>
        <w:rPr>
          <w:i/>
          <w:iCs/>
          <w:color w:val="000000"/>
          <w:sz w:val="22"/>
          <w:szCs w:val="22"/>
        </w:rPr>
        <w:sectPr w:rsidR="00FC31AE" w:rsidSect="005163CD">
          <w:footerReference w:type="default" r:id="rId8"/>
          <w:pgSz w:w="12240" w:h="16340"/>
          <w:pgMar w:top="786" w:right="229" w:bottom="427" w:left="185" w:header="720" w:footer="576" w:gutter="0"/>
          <w:cols w:space="720"/>
          <w:noEndnote/>
          <w:docGrid w:linePitch="299"/>
        </w:sectPr>
      </w:pPr>
    </w:p>
    <w:p w:rsidR="00FC31AE" w:rsidRPr="00C9103C" w:rsidRDefault="00FC31AE" w:rsidP="00C9103C">
      <w:pPr>
        <w:pStyle w:val="CM1"/>
        <w:spacing w:before="120" w:after="307"/>
        <w:ind w:left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C9103C">
        <w:rPr>
          <w:color w:val="000000"/>
          <w:sz w:val="22"/>
          <w:szCs w:val="22"/>
        </w:rPr>
        <w:t>any people do not know the basics about flooding or flood insurance</w:t>
      </w:r>
      <w:r>
        <w:rPr>
          <w:color w:val="000000"/>
          <w:sz w:val="22"/>
          <w:szCs w:val="22"/>
        </w:rPr>
        <w:t xml:space="preserve">.  To make informed decisions, consumers need a solid understanding of </w:t>
      </w:r>
      <w:r w:rsidRPr="00C9103C">
        <w:rPr>
          <w:color w:val="000000"/>
          <w:sz w:val="22"/>
          <w:szCs w:val="22"/>
        </w:rPr>
        <w:t>their flood risk and flood insurance</w:t>
      </w:r>
      <w:r>
        <w:rPr>
          <w:color w:val="000000"/>
          <w:sz w:val="22"/>
          <w:szCs w:val="22"/>
        </w:rPr>
        <w:t>.</w:t>
      </w:r>
      <w:r w:rsidRPr="00C9103C">
        <w:rPr>
          <w:color w:val="000000"/>
          <w:sz w:val="22"/>
          <w:szCs w:val="22"/>
        </w:rPr>
        <w:t xml:space="preserve"> The following are important facts and figures that provide a good picture of the risk of flooding, its impact and options for protection. </w:t>
      </w:r>
    </w:p>
    <w:p w:rsidR="00FC31AE" w:rsidRDefault="00FC31AE" w:rsidP="00C9103C">
      <w:pPr>
        <w:pStyle w:val="CM5"/>
        <w:spacing w:line="253" w:lineRule="atLeast"/>
        <w:ind w:firstLine="180"/>
        <w:rPr>
          <w:rFonts w:ascii="Arial" w:hAnsi="Arial" w:cs="Arial"/>
          <w:color w:val="003163"/>
          <w:sz w:val="22"/>
          <w:szCs w:val="22"/>
        </w:rPr>
      </w:pPr>
      <w:r>
        <w:rPr>
          <w:rFonts w:ascii="Arial" w:hAnsi="Arial" w:cs="Arial"/>
          <w:b/>
          <w:bCs/>
          <w:color w:val="003163"/>
          <w:sz w:val="22"/>
          <w:szCs w:val="22"/>
        </w:rPr>
        <w:t xml:space="preserve">RISK </w:t>
      </w:r>
    </w:p>
    <w:p w:rsidR="00FC31AE" w:rsidRDefault="00FC31AE" w:rsidP="00C9103C">
      <w:pPr>
        <w:pStyle w:val="Default"/>
        <w:numPr>
          <w:ilvl w:val="0"/>
          <w:numId w:val="5"/>
          <w:numberingChange w:id="0" w:author="Unknown" w:date="2010-11-19T15:46:00Z" w:original=""/>
        </w:numPr>
        <w:rPr>
          <w:sz w:val="22"/>
          <w:szCs w:val="22"/>
        </w:rPr>
      </w:pPr>
      <w:r>
        <w:rPr>
          <w:sz w:val="22"/>
          <w:szCs w:val="22"/>
        </w:rPr>
        <w:t xml:space="preserve">Floods are the number one natural disaster in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United States</w:t>
          </w:r>
        </w:smartTag>
      </w:smartTag>
      <w:r>
        <w:rPr>
          <w:sz w:val="22"/>
          <w:szCs w:val="22"/>
        </w:rPr>
        <w:t xml:space="preserve">. </w:t>
      </w:r>
    </w:p>
    <w:p w:rsidR="00FC31AE" w:rsidRPr="00DF285E" w:rsidRDefault="00FC31AE" w:rsidP="00853ACD">
      <w:pPr>
        <w:pStyle w:val="Default"/>
        <w:numPr>
          <w:ilvl w:val="0"/>
          <w:numId w:val="5"/>
          <w:numberingChange w:id="1" w:author="Unknown" w:date="2010-11-19T15:46:00Z" w:original="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Everyone is at risk —even those not near flooding sources like rivers and lakes.  Floods happen as a result of heavy rains, snow melt, overloaded drainage systems, land development runoff, and for many more reasons. </w:t>
      </w:r>
      <w:r w:rsidRPr="00DF285E">
        <w:rPr>
          <w:sz w:val="22"/>
          <w:szCs w:val="22"/>
        </w:rPr>
        <w:t>Just an inch of water can cause tens of thousands of dollars in damage to property</w:t>
      </w:r>
      <w:r>
        <w:rPr>
          <w:sz w:val="22"/>
          <w:szCs w:val="22"/>
        </w:rPr>
        <w:t>, including your personal contents</w:t>
      </w:r>
      <w:r w:rsidRPr="00DF285E">
        <w:rPr>
          <w:sz w:val="22"/>
          <w:szCs w:val="22"/>
        </w:rPr>
        <w:t xml:space="preserve">. </w:t>
      </w:r>
    </w:p>
    <w:p w:rsidR="00FC31AE" w:rsidRDefault="00FC31AE" w:rsidP="00853ACD">
      <w:pPr>
        <w:pStyle w:val="Default"/>
        <w:numPr>
          <w:ilvl w:val="0"/>
          <w:numId w:val="5"/>
          <w:numberingChange w:id="2" w:author="Unknown" w:date="2010-11-19T15:46:00Z" w:original=""/>
        </w:numPr>
        <w:rPr>
          <w:sz w:val="22"/>
          <w:szCs w:val="22"/>
        </w:rPr>
      </w:pPr>
      <w:r w:rsidRPr="00DF285E">
        <w:rPr>
          <w:sz w:val="22"/>
          <w:szCs w:val="22"/>
        </w:rPr>
        <w:t>Most homeowners insura</w:t>
      </w:r>
      <w:r>
        <w:rPr>
          <w:sz w:val="22"/>
          <w:szCs w:val="22"/>
        </w:rPr>
        <w:t xml:space="preserve">nce doesn’t cover flood damage. </w:t>
      </w:r>
    </w:p>
    <w:p w:rsidR="00FC31AE" w:rsidRDefault="00FC31AE" w:rsidP="00AB2BF9">
      <w:pPr>
        <w:pStyle w:val="Default"/>
        <w:numPr>
          <w:ilvl w:val="0"/>
          <w:numId w:val="5"/>
          <w:numberingChange w:id="3" w:author="Unknown" w:date="2010-11-19T15:46:00Z" w:original="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In a high-risk area, your home is more than twice as likely to be damaged by flood than by fire. </w:t>
      </w:r>
    </w:p>
    <w:p w:rsidR="00FC31AE" w:rsidRDefault="00FC31AE" w:rsidP="00853ACD">
      <w:pPr>
        <w:pStyle w:val="Default"/>
        <w:numPr>
          <w:ilvl w:val="0"/>
          <w:numId w:val="5"/>
          <w:numberingChange w:id="4" w:author="Unknown" w:date="2010-11-19T15:46:00Z" w:original=""/>
        </w:numPr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More than 5 million Americans are protected with flood insurance, but millions more are unaware of their personal risk for property damage — or options for protection. </w:t>
      </w:r>
    </w:p>
    <w:p w:rsidR="00FC31AE" w:rsidRDefault="00FC31AE" w:rsidP="00AB2BF9">
      <w:pPr>
        <w:pStyle w:val="Default"/>
        <w:numPr>
          <w:ilvl w:val="0"/>
          <w:numId w:val="5"/>
          <w:numberingChange w:id="5" w:author="Unknown" w:date="2010-11-19T15:46:00Z" w:original=""/>
        </w:numPr>
        <w:spacing w:after="120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.5pt;margin-top:165.3pt;width:250.1pt;height:300pt;z-index:251658240;mso-position-vertical-relative:page" fillcolor="#a7cae2" stroked="f">
            <v:textbox style="mso-next-textbox:#_x0000_s1028" inset="14.4pt,,14.4pt">
              <w:txbxContent>
                <w:p w:rsidR="00FC31AE" w:rsidRPr="00C9103C" w:rsidRDefault="00FC31AE" w:rsidP="00853ACD">
                  <w:pPr>
                    <w:pStyle w:val="BoxHeader"/>
                    <w:spacing w:after="120"/>
                    <w:rPr>
                      <w:rFonts w:ascii="Times New Roman" w:hAnsi="Times New Roman"/>
                    </w:rPr>
                  </w:pPr>
                  <w:r w:rsidRPr="00C9103C">
                    <w:rPr>
                      <w:rFonts w:ascii="Times New Roman" w:hAnsi="Times New Roman"/>
                    </w:rPr>
                    <w:t>IMPACT</w:t>
                  </w:r>
                </w:p>
                <w:p w:rsidR="00FC31AE" w:rsidRPr="00C9103C" w:rsidRDefault="00FC31AE" w:rsidP="00853ACD">
                  <w:pPr>
                    <w:pStyle w:val="BoxBullet"/>
                    <w:rPr>
                      <w:rFonts w:ascii="Times New Roman" w:hAnsi="Times New Roman"/>
                    </w:rPr>
                  </w:pPr>
                  <w:r w:rsidRPr="00C9103C">
                    <w:rPr>
                      <w:rFonts w:ascii="Times New Roman" w:hAnsi="Times New Roman"/>
                    </w:rPr>
                    <w:t xml:space="preserve">Flood losses in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C9103C">
                        <w:rPr>
                          <w:rFonts w:ascii="Times New Roman" w:hAnsi="Times New Roman"/>
                        </w:rPr>
                        <w:t>United States</w:t>
                      </w:r>
                    </w:smartTag>
                  </w:smartTag>
                  <w:r w:rsidRPr="00C9103C">
                    <w:rPr>
                      <w:rFonts w:ascii="Times New Roman" w:hAnsi="Times New Roman"/>
                    </w:rPr>
                    <w:t xml:space="preserve"> averaged $2.4 billion per year for the last decade.</w:t>
                  </w:r>
                </w:p>
                <w:p w:rsidR="00FC31AE" w:rsidRPr="00C9103C" w:rsidRDefault="00FC31AE" w:rsidP="00853ACD">
                  <w:pPr>
                    <w:pStyle w:val="BoxBullet"/>
                    <w:rPr>
                      <w:rFonts w:ascii="Times New Roman" w:hAnsi="Times New Roman"/>
                    </w:rPr>
                  </w:pPr>
                  <w:r w:rsidRPr="00C9103C">
                    <w:rPr>
                      <w:rFonts w:ascii="Times New Roman" w:hAnsi="Times New Roman"/>
                    </w:rPr>
                    <w:t xml:space="preserve">The National Flood Insurance Program (NFIP) paid more than $4 billion in flood insurance claims to policyholders in the past two years (as of May 2010). </w:t>
                  </w:r>
                </w:p>
                <w:p w:rsidR="00FC31AE" w:rsidRPr="00C9103C" w:rsidRDefault="00FC31AE" w:rsidP="00853ACD">
                  <w:pPr>
                    <w:pStyle w:val="BoxBullet"/>
                    <w:rPr>
                      <w:rFonts w:ascii="Times New Roman" w:hAnsi="Times New Roman"/>
                    </w:rPr>
                  </w:pPr>
                  <w:r w:rsidRPr="00C9103C">
                    <w:rPr>
                      <w:rFonts w:ascii="Times New Roman" w:hAnsi="Times New Roman"/>
                    </w:rPr>
                    <w:t>Federal disaster assistance is usually a loan that must be paid back with interest — and is only available when a disaster has been federally declared.</w:t>
                  </w:r>
                </w:p>
                <w:p w:rsidR="00FC31AE" w:rsidRPr="00C9103C" w:rsidRDefault="00FC31AE" w:rsidP="00853ACD">
                  <w:pPr>
                    <w:pStyle w:val="BoxBullet"/>
                    <w:rPr>
                      <w:rFonts w:ascii="Times New Roman" w:hAnsi="Times New Roman"/>
                    </w:rPr>
                  </w:pPr>
                  <w:r w:rsidRPr="00C9103C">
                    <w:rPr>
                      <w:rFonts w:ascii="Times New Roman" w:hAnsi="Times New Roman"/>
                    </w:rPr>
                    <w:t>In the last 50 years, nearly 1,000 flood events have been designated as federally declared disasters.</w:t>
                  </w:r>
                </w:p>
                <w:p w:rsidR="00FC31AE" w:rsidRPr="00C9103C" w:rsidRDefault="00FC31AE" w:rsidP="00853ACD">
                  <w:pPr>
                    <w:pStyle w:val="BoxBullet"/>
                    <w:rPr>
                      <w:rFonts w:ascii="Times New Roman" w:hAnsi="Times New Roman"/>
                    </w:rPr>
                  </w:pPr>
                  <w:r w:rsidRPr="00C9103C">
                    <w:rPr>
                      <w:rFonts w:ascii="Times New Roman" w:hAnsi="Times New Roman"/>
                    </w:rPr>
                    <w:t>Nearly 75 percent of all federally declared disasters over the past five years involved flooding.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2"/>
          <w:szCs w:val="22"/>
        </w:rPr>
        <w:t xml:space="preserve">In the South and West, approximately 24 percent of homeowners in high-risk areas, or Special Flood Hazard Areas (SFHAs), are covered by flood insurance. However, outside of the high-risk areas, three percent of homeowners in non-SFHAs have purchased flood insurance (Source: RAND Corporation). </w:t>
      </w:r>
    </w:p>
    <w:p w:rsidR="00FC31AE" w:rsidRDefault="00FC31AE" w:rsidP="00853ACD">
      <w:pPr>
        <w:pStyle w:val="Default"/>
        <w:numPr>
          <w:ilvl w:val="0"/>
          <w:numId w:val="5"/>
          <w:numberingChange w:id="6" w:author="Unknown" w:date="2010-11-19T15:46:00Z" w:original=""/>
        </w:numPr>
        <w:rPr>
          <w:sz w:val="22"/>
          <w:szCs w:val="22"/>
        </w:rPr>
      </w:pPr>
      <w:r>
        <w:rPr>
          <w:sz w:val="22"/>
          <w:szCs w:val="22"/>
        </w:rPr>
        <w:t xml:space="preserve">In Northeast and Midwest SFHAs, the flood insurance coverage is significantly lower than in other areas of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United States</w:t>
          </w:r>
        </w:smartTag>
      </w:smartTag>
      <w:r>
        <w:rPr>
          <w:sz w:val="22"/>
          <w:szCs w:val="22"/>
        </w:rPr>
        <w:t xml:space="preserve">. Nearly 87 percent of Northeast residents and nearly 93 percent of Midwesterners lack financial protection in case of a flood (Source: RAND Corporation). </w:t>
      </w: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>
      <w:pPr>
        <w:pStyle w:val="Default"/>
        <w:spacing w:after="54"/>
        <w:rPr>
          <w:sz w:val="22"/>
          <w:szCs w:val="22"/>
        </w:rPr>
      </w:pPr>
    </w:p>
    <w:p w:rsidR="00FC31AE" w:rsidRDefault="00FC31AE" w:rsidP="00853ACD">
      <w:pPr>
        <w:pStyle w:val="Default"/>
        <w:rPr>
          <w:sz w:val="22"/>
          <w:szCs w:val="22"/>
        </w:rPr>
      </w:pPr>
    </w:p>
    <w:p w:rsidR="00FC31AE" w:rsidRDefault="00FC31AE" w:rsidP="00853ACD">
      <w:pPr>
        <w:pStyle w:val="Default"/>
        <w:rPr>
          <w:sz w:val="22"/>
          <w:szCs w:val="22"/>
        </w:rPr>
      </w:pPr>
    </w:p>
    <w:p w:rsidR="00FC31AE" w:rsidRDefault="00FC31AE" w:rsidP="00853ACD">
      <w:pPr>
        <w:pStyle w:val="Default"/>
        <w:rPr>
          <w:sz w:val="22"/>
          <w:szCs w:val="22"/>
        </w:rPr>
      </w:pPr>
    </w:p>
    <w:p w:rsidR="00FC31AE" w:rsidRDefault="00FC31AE" w:rsidP="00853ACD">
      <w:pPr>
        <w:pStyle w:val="Default"/>
        <w:rPr>
          <w:sz w:val="22"/>
          <w:szCs w:val="22"/>
        </w:rPr>
      </w:pPr>
    </w:p>
    <w:p w:rsidR="00FC31AE" w:rsidRDefault="00FC31AE" w:rsidP="00853ACD">
      <w:pPr>
        <w:pStyle w:val="Default"/>
        <w:rPr>
          <w:sz w:val="22"/>
          <w:szCs w:val="22"/>
        </w:rPr>
      </w:pPr>
    </w:p>
    <w:p w:rsidR="00FC31AE" w:rsidRDefault="00FC31AE" w:rsidP="00853ACD">
      <w:pPr>
        <w:pStyle w:val="Default"/>
        <w:rPr>
          <w:sz w:val="22"/>
          <w:szCs w:val="22"/>
        </w:rPr>
      </w:pPr>
    </w:p>
    <w:p w:rsidR="00FC31AE" w:rsidRDefault="00FC31AE" w:rsidP="00853ACD">
      <w:pPr>
        <w:pStyle w:val="Default"/>
        <w:rPr>
          <w:sz w:val="22"/>
          <w:szCs w:val="22"/>
        </w:rPr>
      </w:pPr>
    </w:p>
    <w:p w:rsidR="00FC31AE" w:rsidRDefault="00FC31AE" w:rsidP="00853ACD">
      <w:pPr>
        <w:pStyle w:val="Default"/>
        <w:rPr>
          <w:sz w:val="22"/>
          <w:szCs w:val="22"/>
        </w:rPr>
      </w:pPr>
    </w:p>
    <w:p w:rsidR="00FC31AE" w:rsidRDefault="00FC31AE" w:rsidP="00C9103C">
      <w:pPr>
        <w:pStyle w:val="Default"/>
        <w:spacing w:after="120"/>
        <w:rPr>
          <w:sz w:val="22"/>
          <w:szCs w:val="22"/>
        </w:rPr>
      </w:pPr>
    </w:p>
    <w:p w:rsidR="00FC31AE" w:rsidRDefault="00FC31AE" w:rsidP="00C9103C">
      <w:pPr>
        <w:pStyle w:val="Default"/>
        <w:spacing w:after="120"/>
        <w:rPr>
          <w:sz w:val="22"/>
          <w:szCs w:val="22"/>
        </w:rPr>
      </w:pPr>
    </w:p>
    <w:p w:rsidR="00FC31AE" w:rsidRDefault="00FC31AE" w:rsidP="00AB2BF9">
      <w:pPr>
        <w:pStyle w:val="Default"/>
        <w:numPr>
          <w:ilvl w:val="0"/>
          <w:numId w:val="5"/>
          <w:numberingChange w:id="7" w:author="Unknown" w:date="2010-11-19T15:46:00Z" w:original="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Property owners, renters and business owners can purchase flood insurance on their building and contents if their community is among the nearly 21,000 communities that participate in the NFIP. </w:t>
      </w:r>
    </w:p>
    <w:p w:rsidR="00FC31AE" w:rsidRDefault="00FC31AE" w:rsidP="00853ACD">
      <w:pPr>
        <w:pStyle w:val="Default"/>
        <w:numPr>
          <w:ilvl w:val="0"/>
          <w:numId w:val="5"/>
          <w:numberingChange w:id="8" w:author="Unknown" w:date="2010-11-19T15:46:00Z" w:original="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It typically takes 30 days after the purchase of flood insurance for the policy to take effect. </w:t>
      </w:r>
    </w:p>
    <w:p w:rsidR="00FC31AE" w:rsidRDefault="00FC31AE" w:rsidP="009E2949">
      <w:pPr>
        <w:pStyle w:val="Default"/>
        <w:numPr>
          <w:ilvl w:val="0"/>
          <w:numId w:val="5"/>
          <w:numberingChange w:id="9" w:author="Unknown" w:date="2010-11-19T15:46:00Z" w:original="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average flood insurance policy cost less than $570 per year. </w:t>
      </w:r>
    </w:p>
    <w:p w:rsidR="00FC31AE" w:rsidRDefault="00FC31AE" w:rsidP="00853ACD">
      <w:pPr>
        <w:pStyle w:val="Default"/>
        <w:numPr>
          <w:ilvl w:val="0"/>
          <w:numId w:val="5"/>
          <w:numberingChange w:id="10" w:author="Unknown" w:date="2010-11-19T15:46:00Z" w:original="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People in moderate-to-low risk areas may be eligible for the Preferred Risk Policy with flood insurance premiums starting as low as $129 a year. </w:t>
      </w:r>
    </w:p>
    <w:p w:rsidR="00FC31AE" w:rsidRDefault="00FC31AE" w:rsidP="00853ACD">
      <w:pPr>
        <w:pStyle w:val="Default"/>
        <w:numPr>
          <w:ilvl w:val="0"/>
          <w:numId w:val="5"/>
          <w:numberingChange w:id="11" w:author="Unknown" w:date="2010-11-19T15:46:00Z" w:original="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Consumers can visit </w:t>
      </w:r>
      <w:r>
        <w:rPr>
          <w:b/>
          <w:bCs/>
          <w:sz w:val="22"/>
          <w:szCs w:val="22"/>
          <w:u w:val="single"/>
        </w:rPr>
        <w:t xml:space="preserve">FloodSmart.gov </w:t>
      </w:r>
      <w:r>
        <w:rPr>
          <w:sz w:val="22"/>
          <w:szCs w:val="22"/>
        </w:rPr>
        <w:t xml:space="preserve">or call </w:t>
      </w:r>
      <w:r>
        <w:rPr>
          <w:b/>
          <w:bCs/>
          <w:sz w:val="22"/>
          <w:szCs w:val="22"/>
        </w:rPr>
        <w:t>1-800</w:t>
      </w:r>
      <w:r>
        <w:rPr>
          <w:b/>
          <w:bCs/>
          <w:sz w:val="22"/>
          <w:szCs w:val="22"/>
        </w:rPr>
        <w:softHyphen/>
        <w:t xml:space="preserve">427-2419 </w:t>
      </w:r>
      <w:r>
        <w:rPr>
          <w:sz w:val="22"/>
          <w:szCs w:val="22"/>
        </w:rPr>
        <w:t xml:space="preserve">to learn how to prepare for floods, how to purchase a flood insurance policy and what the benefits are of protecting their homes and contents against flooding. </w:t>
      </w:r>
    </w:p>
    <w:sectPr w:rsidR="00FC31AE" w:rsidSect="003460F3">
      <w:type w:val="continuous"/>
      <w:pgSz w:w="12240" w:h="16340"/>
      <w:pgMar w:top="786" w:right="229" w:bottom="427" w:left="185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AE" w:rsidRDefault="00FC31AE" w:rsidP="00853ACD">
      <w:pPr>
        <w:spacing w:after="0" w:line="240" w:lineRule="auto"/>
      </w:pPr>
      <w:r>
        <w:separator/>
      </w:r>
    </w:p>
  </w:endnote>
  <w:endnote w:type="continuationSeparator" w:id="0">
    <w:p w:rsidR="00FC31AE" w:rsidRDefault="00FC31AE" w:rsidP="008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AE" w:rsidRDefault="00FC31AE" w:rsidP="00BF0D78">
    <w:pPr>
      <w:pStyle w:val="Defaul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3.25pt;margin-top:7.35pt;width:117pt;height:41.65pt;z-index:251660288;visibility:visible">
          <v:imagedata r:id="rId1" o:title=""/>
        </v:shape>
      </w:pic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rFonts w:ascii="Arial" w:hAnsi="Arial" w:cs="Arial"/>
        <w:b/>
        <w:bCs/>
        <w:color w:val="A7C9E1"/>
        <w:sz w:val="20"/>
        <w:szCs w:val="20"/>
      </w:rPr>
      <w:t xml:space="preserve"> </w:t>
    </w:r>
  </w:p>
  <w:p w:rsidR="00FC31AE" w:rsidRDefault="00FC31AE" w:rsidP="00853ACD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3.75pt;margin-top:2.25pt;width:162pt;height:18pt;z-index:251661312" filled="f" stroked="f">
          <v:textbox style="mso-next-textbox:#_x0000_s2050" inset="0,,0">
            <w:txbxContent>
              <w:p w:rsidR="00FC31AE" w:rsidRPr="00736A47" w:rsidRDefault="00FC31AE" w:rsidP="00AB2BF9">
                <w:pPr>
                  <w:rPr>
                    <w:rFonts w:ascii="Arial" w:hAnsi="Arial" w:cs="Arial"/>
                    <w:b/>
                    <w:color w:val="A7CAE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A7CAE2"/>
                    <w:sz w:val="20"/>
                    <w:szCs w:val="20"/>
                  </w:rPr>
                  <w:t>NOVEMBER 2010</w:t>
                </w:r>
                <w:r w:rsidRPr="00736A47">
                  <w:rPr>
                    <w:rFonts w:ascii="Arial" w:hAnsi="Arial" w:cs="Arial"/>
                    <w:b/>
                    <w:color w:val="A7CAE2"/>
                    <w:sz w:val="20"/>
                    <w:szCs w:val="20"/>
                  </w:rPr>
                  <w:tab/>
                  <w:t xml:space="preserve">  </w:t>
                </w:r>
                <w:r>
                  <w:rPr>
                    <w:rFonts w:ascii="Arial" w:hAnsi="Arial" w:cs="Arial"/>
                    <w:b/>
                    <w:color w:val="A7CAE2"/>
                    <w:sz w:val="20"/>
                    <w:szCs w:val="20"/>
                  </w:rPr>
                  <w:tab/>
                </w:r>
                <w:r w:rsidRPr="00736A47">
                  <w:rPr>
                    <w:rFonts w:ascii="Arial" w:hAnsi="Arial" w:cs="Arial"/>
                    <w:b/>
                    <w:color w:val="A7CAE2"/>
                    <w:sz w:val="20"/>
                    <w:szCs w:val="20"/>
                  </w:rPr>
                  <w:t xml:space="preserve"> PAGE </w:t>
                </w:r>
                <w:r w:rsidRPr="00736A47">
                  <w:rPr>
                    <w:rStyle w:val="PageNumber"/>
                    <w:rFonts w:ascii="Arial" w:hAnsi="Arial" w:cs="Arial"/>
                    <w:b/>
                    <w:color w:val="A7CAE2"/>
                    <w:sz w:val="20"/>
                    <w:szCs w:val="20"/>
                  </w:rPr>
                  <w:fldChar w:fldCharType="begin"/>
                </w:r>
                <w:r w:rsidRPr="00736A47">
                  <w:rPr>
                    <w:rStyle w:val="PageNumber"/>
                    <w:rFonts w:ascii="Arial" w:hAnsi="Arial" w:cs="Arial"/>
                    <w:b/>
                    <w:color w:val="A7CAE2"/>
                    <w:sz w:val="20"/>
                    <w:szCs w:val="20"/>
                  </w:rPr>
                  <w:instrText xml:space="preserve"> PAGE </w:instrText>
                </w:r>
                <w:r w:rsidRPr="00736A47">
                  <w:rPr>
                    <w:rStyle w:val="PageNumber"/>
                    <w:rFonts w:ascii="Arial" w:hAnsi="Arial" w:cs="Arial"/>
                    <w:b/>
                    <w:color w:val="A7CAE2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b/>
                    <w:noProof/>
                    <w:color w:val="A7CAE2"/>
                    <w:sz w:val="20"/>
                    <w:szCs w:val="20"/>
                  </w:rPr>
                  <w:t>1</w:t>
                </w:r>
                <w:r w:rsidRPr="00736A47">
                  <w:rPr>
                    <w:rStyle w:val="PageNumber"/>
                    <w:rFonts w:ascii="Arial" w:hAnsi="Arial" w:cs="Arial"/>
                    <w:b/>
                    <w:color w:val="A7CAE2"/>
                    <w:sz w:val="20"/>
                    <w:szCs w:val="20"/>
                  </w:rPr>
                  <w:fldChar w:fldCharType="end"/>
                </w:r>
              </w:p>
              <w:p w:rsidR="00FC31AE" w:rsidRDefault="00FC31AE" w:rsidP="005163CD"/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AE" w:rsidRDefault="00FC31AE" w:rsidP="00853ACD">
      <w:pPr>
        <w:spacing w:after="0" w:line="240" w:lineRule="auto"/>
      </w:pPr>
      <w:r>
        <w:separator/>
      </w:r>
    </w:p>
  </w:footnote>
  <w:footnote w:type="continuationSeparator" w:id="0">
    <w:p w:rsidR="00FC31AE" w:rsidRDefault="00FC31AE" w:rsidP="008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6FBDB3"/>
    <w:multiLevelType w:val="hybridMultilevel"/>
    <w:tmpl w:val="53E18E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F50CB6E"/>
    <w:multiLevelType w:val="hybridMultilevel"/>
    <w:tmpl w:val="CFD671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7C53A9"/>
    <w:multiLevelType w:val="hybridMultilevel"/>
    <w:tmpl w:val="176B03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50B5AD9"/>
    <w:multiLevelType w:val="hybridMultilevel"/>
    <w:tmpl w:val="87402EBE"/>
    <w:lvl w:ilvl="0" w:tplc="2804A168">
      <w:start w:val="1"/>
      <w:numFmt w:val="bullet"/>
      <w:pStyle w:val="Box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E51D8"/>
    <w:multiLevelType w:val="hybridMultilevel"/>
    <w:tmpl w:val="4D49FDA4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9ED5986"/>
    <w:multiLevelType w:val="hybridMultilevel"/>
    <w:tmpl w:val="ADA4DD3A"/>
    <w:lvl w:ilvl="0" w:tplc="996C2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trackRevision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FF4"/>
    <w:rsid w:val="001E48FE"/>
    <w:rsid w:val="001F2AE4"/>
    <w:rsid w:val="00233DBF"/>
    <w:rsid w:val="0031128F"/>
    <w:rsid w:val="003460F3"/>
    <w:rsid w:val="003535A5"/>
    <w:rsid w:val="003A1B46"/>
    <w:rsid w:val="003E3EDA"/>
    <w:rsid w:val="00453890"/>
    <w:rsid w:val="0047515B"/>
    <w:rsid w:val="005163CD"/>
    <w:rsid w:val="0052783E"/>
    <w:rsid w:val="00564B64"/>
    <w:rsid w:val="005A7881"/>
    <w:rsid w:val="005A7FF4"/>
    <w:rsid w:val="00640926"/>
    <w:rsid w:val="006A5871"/>
    <w:rsid w:val="0071732A"/>
    <w:rsid w:val="00727604"/>
    <w:rsid w:val="00736A47"/>
    <w:rsid w:val="00746559"/>
    <w:rsid w:val="008357BE"/>
    <w:rsid w:val="00853ACD"/>
    <w:rsid w:val="009162AA"/>
    <w:rsid w:val="009E2949"/>
    <w:rsid w:val="009F239A"/>
    <w:rsid w:val="00A3009E"/>
    <w:rsid w:val="00AB2BF9"/>
    <w:rsid w:val="00BE180D"/>
    <w:rsid w:val="00BF0D78"/>
    <w:rsid w:val="00C9103C"/>
    <w:rsid w:val="00CC032F"/>
    <w:rsid w:val="00D05FA5"/>
    <w:rsid w:val="00D65E81"/>
    <w:rsid w:val="00DF285E"/>
    <w:rsid w:val="00E924B2"/>
    <w:rsid w:val="00F744C7"/>
    <w:rsid w:val="00FC31AE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BF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3DB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33DBF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33DBF"/>
    <w:rPr>
      <w:color w:val="auto"/>
    </w:rPr>
  </w:style>
  <w:style w:type="paragraph" w:customStyle="1" w:styleId="BoxHeader">
    <w:name w:val="Box Header"/>
    <w:basedOn w:val="Normal"/>
    <w:uiPriority w:val="99"/>
    <w:rsid w:val="00853ACD"/>
    <w:pPr>
      <w:spacing w:before="120" w:after="360" w:line="360" w:lineRule="exact"/>
      <w:jc w:val="center"/>
    </w:pPr>
    <w:rPr>
      <w:rFonts w:ascii="Arial Narrow" w:hAnsi="Arial Narrow"/>
      <w:b/>
      <w:caps/>
      <w:color w:val="333333"/>
      <w:spacing w:val="20"/>
      <w:szCs w:val="24"/>
    </w:rPr>
  </w:style>
  <w:style w:type="paragraph" w:customStyle="1" w:styleId="BoxBullet">
    <w:name w:val="Box Bullet"/>
    <w:basedOn w:val="Normal"/>
    <w:uiPriority w:val="99"/>
    <w:rsid w:val="00853ACD"/>
    <w:pPr>
      <w:numPr>
        <w:numId w:val="4"/>
      </w:numPr>
      <w:spacing w:before="120" w:after="120" w:line="300" w:lineRule="atLeast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semiHidden/>
    <w:rsid w:val="00853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A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A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A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163C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F23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2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3D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3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ccount\FEMA\CORE%20TASK%201\toolkits\OPR%20Final%20Word_PDFs\Word\FactsFiguresStats-9%208%2010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FactsFiguresStats-9 8 10_FINAL</Template>
  <TotalTime>1</TotalTime>
  <Pages>1</Pages>
  <Words>354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FactsFiguresStats-8 24 10</dc:title>
  <dc:subject/>
  <dc:creator>czachary</dc:creator>
  <cp:keywords/>
  <dc:description/>
  <cp:lastModifiedBy>Hildrethj</cp:lastModifiedBy>
  <cp:revision>2</cp:revision>
  <dcterms:created xsi:type="dcterms:W3CDTF">2010-11-19T20:47:00Z</dcterms:created>
  <dcterms:modified xsi:type="dcterms:W3CDTF">2010-11-19T20:47:00Z</dcterms:modified>
</cp:coreProperties>
</file>